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E" w:rsidRDefault="001106BE" w:rsidP="00932154">
      <w:pPr>
        <w:pStyle w:val="2"/>
      </w:pPr>
      <w:bookmarkStart w:id="0" w:name="_GoBack"/>
      <w:bookmarkEnd w:id="0"/>
    </w:p>
    <w:p w:rsidR="00932154" w:rsidRPr="0074495D" w:rsidRDefault="00932154" w:rsidP="00932154">
      <w:pPr>
        <w:pStyle w:val="2"/>
      </w:pPr>
      <w:r w:rsidRPr="0074495D">
        <w:t>1.2.5. Предметные результаты</w:t>
      </w:r>
      <w:r>
        <w:t xml:space="preserve"> </w:t>
      </w:r>
    </w:p>
    <w:p w:rsidR="00932154" w:rsidRPr="0074495D" w:rsidRDefault="00932154" w:rsidP="00932154">
      <w:pPr>
        <w:pStyle w:val="4"/>
      </w:pPr>
      <w:bookmarkStart w:id="1" w:name="_Toc409691642"/>
      <w:bookmarkStart w:id="2" w:name="_Toc410653965"/>
      <w:bookmarkStart w:id="3" w:name="_Toc414553151"/>
      <w:r w:rsidRPr="0074495D">
        <w:t>1.2.5.12. Химия</w:t>
      </w:r>
      <w:bookmarkEnd w:id="1"/>
      <w:bookmarkEnd w:id="2"/>
      <w:bookmarkEnd w:id="3"/>
    </w:p>
    <w:p w:rsidR="00932154" w:rsidRPr="0074495D" w:rsidRDefault="00932154" w:rsidP="0093215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химические и физические явления;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химические элементы;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состав веществ по их формулам;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валентность атома элемента в соединениях;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тип химических реакций;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формулы бинарных соединений;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химических реакций;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лабораторным оборудованием и посудой;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относительную молекулярную и молярную массы веществ;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вычислять массовую долю химического элемента по формуле соединения;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получать, собирать кислород и водород;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закона Авогадро;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воды;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понятия «раствор»;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массовую долю растворенного вещества в растворе;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соединения изученных классов неорганических веществ;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раскрывать смысл Периодического закона Д.И. Менделеева;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74495D">
        <w:rPr>
          <w:rFonts w:ascii="Times New Roman" w:hAnsi="Times New Roman"/>
        </w:rPr>
        <w:t> </w:t>
      </w:r>
      <w:r w:rsidRPr="0074495D">
        <w:rPr>
          <w:rFonts w:ascii="Times New Roman" w:hAnsi="Times New Roman"/>
          <w:sz w:val="28"/>
          <w:szCs w:val="28"/>
        </w:rPr>
        <w:t>Менделеева;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74495D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>»;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 химической связи в неорганических соединениях;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74495D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74495D">
        <w:rPr>
          <w:rFonts w:ascii="Times New Roman" w:hAnsi="Times New Roman"/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степень окисления атома элемента в соединении;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теории электролитической диссоциации;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составлять полные и сокращенные ионные уравнения реакции обмена;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ионного обмена;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окислитель и восстановитель;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окислительно-восстановительных реакций;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химические реакции по различным признакам;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932154" w:rsidRPr="0074495D" w:rsidRDefault="00932154" w:rsidP="009321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932154" w:rsidRPr="0074495D" w:rsidRDefault="00932154" w:rsidP="009321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932154" w:rsidRPr="0074495D" w:rsidRDefault="00932154" w:rsidP="00932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932154" w:rsidRPr="0074495D" w:rsidRDefault="00932154" w:rsidP="009321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получит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bCs/>
          <w:sz w:val="28"/>
          <w:szCs w:val="28"/>
        </w:rPr>
        <w:t>возможность научиться: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вступать в химические реакции, о характере и продуктах различных химических реакций;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932154" w:rsidRPr="0074495D" w:rsidRDefault="00932154" w:rsidP="009321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932154" w:rsidRPr="0074495D" w:rsidRDefault="00932154" w:rsidP="0093215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модели и схемы для решения учебных и познавательных задач;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1E1034" w:rsidRDefault="00807E28"/>
    <w:sectPr w:rsidR="001E1034" w:rsidSect="0081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2154"/>
    <w:rsid w:val="0003445B"/>
    <w:rsid w:val="001106BE"/>
    <w:rsid w:val="001D2A87"/>
    <w:rsid w:val="00352A1E"/>
    <w:rsid w:val="00807E28"/>
    <w:rsid w:val="00816AE0"/>
    <w:rsid w:val="0093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5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93215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215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1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154"/>
    <w:rPr>
      <w:rFonts w:ascii="Times New Roman" w:eastAsia="Times New Roman" w:hAnsi="Times New Roman" w:cs="Times New Roman"/>
      <w:b/>
      <w:bCs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5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93215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215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1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154"/>
    <w:rPr>
      <w:rFonts w:ascii="Times New Roman" w:eastAsia="Times New Roman" w:hAnsi="Times New Roman" w:cs="Times New Roman"/>
      <w:b/>
      <w:bCs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4</cp:revision>
  <dcterms:created xsi:type="dcterms:W3CDTF">2017-01-24T17:50:00Z</dcterms:created>
  <dcterms:modified xsi:type="dcterms:W3CDTF">2019-03-27T00:03:00Z</dcterms:modified>
</cp:coreProperties>
</file>